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1F797">
      <w:pPr>
        <w:keepNext w:val="0"/>
        <w:keepLines w:val="0"/>
        <w:pageBreakBefore w:val="0"/>
        <w:widowControl w:val="0"/>
        <w:numPr>
          <w:ilvl w:val="0"/>
          <w:numId w:val="0"/>
        </w:numPr>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2027年度基层科普行动计划项目申报指南</w:t>
      </w:r>
    </w:p>
    <w:p w14:paraId="02D521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p>
    <w:p w14:paraId="1C4611D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华文中宋" w:hAnsi="华文中宋" w:eastAsia="华文中宋" w:cs="华文中宋"/>
          <w:color w:val="auto"/>
          <w:sz w:val="36"/>
          <w:szCs w:val="36"/>
          <w:u w:val="none"/>
          <w:lang w:val="en-US" w:eastAsia="zh-CN"/>
        </w:rPr>
      </w:pPr>
      <w:r>
        <w:rPr>
          <w:rFonts w:hint="eastAsia" w:ascii="黑体" w:hAnsi="黑体" w:eastAsia="黑体" w:cs="黑体"/>
          <w:color w:val="auto"/>
          <w:sz w:val="36"/>
          <w:szCs w:val="36"/>
          <w:u w:val="none"/>
          <w:lang w:val="en-US" w:eastAsia="zh-CN"/>
        </w:rPr>
        <w:t>专题一：品牌科普活动</w:t>
      </w:r>
    </w:p>
    <w:p w14:paraId="6ACDE9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p>
    <w:p w14:paraId="78C75B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（一）申报内容</w:t>
      </w:r>
    </w:p>
    <w:p w14:paraId="6436BD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仿宋" w:hAnsi="仿宋" w:eastAsia="仿宋" w:cs="仿宋"/>
          <w:color w:val="auto"/>
          <w:sz w:val="32"/>
          <w:szCs w:val="32"/>
          <w:u w:val="none"/>
          <w:lang w:val="en-US" w:eastAsia="zh-CN"/>
        </w:rPr>
        <w:t>支持基层科协、省级学会、高校科协、省级以上科普教育基地、科研院所等，通过加强科普组织建设、科普人才培养、科普资源开发、科普阵地建设等形式，提升科普服务能力，积极开展青少年科技竞赛、科技志愿服务、科普研学、科普进基层等各类科普活动，形成科普工作品牌。</w:t>
      </w:r>
    </w:p>
    <w:p w14:paraId="28FF7A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（二）考核指标</w:t>
      </w:r>
    </w:p>
    <w:p w14:paraId="399976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1.每个申报单位至少形成1个科普活动品牌（包括：青少年科技创新大赛、科学秀比赛、农村基层专题科普活动、科普下乡等）。拥有专属品牌名称并定期开展系列活动，产出品牌配套科普资源（科普课件、宣讲文稿、科普手册、展板海报、科普短视频、研学教程、科普实验教具、系列活动执行方案等任意一类或多类作品）。</w:t>
      </w:r>
    </w:p>
    <w:p w14:paraId="3AA655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2.每个申报单位全年系列科普活动线下受众不少于1000人次。项目产出科普内容、科普活动等，在媒体宣传曝光累计不少于10000人次。</w:t>
      </w:r>
      <w:bookmarkStart w:id="0" w:name="_GoBack"/>
      <w:bookmarkEnd w:id="0"/>
    </w:p>
    <w:p w14:paraId="0C4165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3.形成稳定的科普队伍。其中具备中级以上职称的不少于5人。</w:t>
      </w:r>
    </w:p>
    <w:p w14:paraId="0617D2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4.形成的科普课件、展板、科普课程等资源可重复循环用于后续科普工作。</w:t>
      </w:r>
    </w:p>
    <w:p w14:paraId="0DC7AF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5.项目全过程台账、活动照片、宣传素材、成果资料归档完整率100%。</w:t>
      </w:r>
    </w:p>
    <w:p w14:paraId="70393D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6.群众满意度85%以上。</w:t>
      </w:r>
    </w:p>
    <w:p w14:paraId="32A5A7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除上述基本考核指标外，还需结合自身活动内容，设置个性化任务指标，评选时将作为评分重要参考依据。</w:t>
      </w:r>
    </w:p>
    <w:p w14:paraId="2F6D27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（三）申报条件</w:t>
      </w:r>
    </w:p>
    <w:p w14:paraId="2D6944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申报主体为基层科协、省级学会（协会、研究会）、高校科协、科研院所、省级以上科普教育基地等，以单位名义申报，不受理个人申报。</w:t>
      </w:r>
    </w:p>
    <w:p w14:paraId="447200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（四）资助金额</w:t>
      </w:r>
    </w:p>
    <w:p w14:paraId="519D38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0"/>
          <w:szCs w:val="30"/>
          <w:u w:val="none"/>
          <w:lang w:val="en-US" w:eastAsia="zh-CN"/>
        </w:rPr>
      </w:pPr>
      <w:r>
        <w:rPr>
          <w:rFonts w:hint="eastAsia" w:ascii="仿宋" w:hAnsi="仿宋" w:eastAsia="仿宋" w:cs="仿宋"/>
          <w:color w:val="auto"/>
          <w:sz w:val="32"/>
          <w:szCs w:val="32"/>
          <w:u w:val="none"/>
          <w:lang w:val="en-US" w:eastAsia="zh-CN"/>
        </w:rPr>
        <w:t>每项8万元。</w:t>
      </w:r>
    </w:p>
    <w:p w14:paraId="0D2796A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华文中宋" w:hAnsi="华文中宋" w:eastAsia="华文中宋" w:cs="华文中宋"/>
          <w:color w:val="auto"/>
          <w:sz w:val="32"/>
          <w:szCs w:val="32"/>
          <w:u w:val="none"/>
          <w:lang w:val="en-US" w:eastAsia="zh-CN"/>
        </w:rPr>
      </w:pPr>
    </w:p>
    <w:p w14:paraId="28CAD5F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color w:val="auto"/>
          <w:sz w:val="36"/>
          <w:szCs w:val="36"/>
          <w:u w:val="none"/>
          <w:lang w:val="en-US" w:eastAsia="zh-CN"/>
        </w:rPr>
      </w:pPr>
      <w:r>
        <w:rPr>
          <w:rFonts w:hint="eastAsia" w:ascii="黑体" w:hAnsi="黑体" w:eastAsia="黑体" w:cs="黑体"/>
          <w:color w:val="auto"/>
          <w:sz w:val="36"/>
          <w:szCs w:val="36"/>
          <w:u w:val="none"/>
          <w:lang w:val="en-US" w:eastAsia="zh-CN"/>
        </w:rPr>
        <w:t>专题二：县域科普创新发展</w:t>
      </w:r>
    </w:p>
    <w:p w14:paraId="36D7E0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（一）申报内容</w:t>
      </w:r>
    </w:p>
    <w:p w14:paraId="76049E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eastAsia="zh-CN"/>
        </w:rPr>
        <w:t>选取</w:t>
      </w:r>
      <w:r>
        <w:rPr>
          <w:rFonts w:hint="eastAsia" w:ascii="仿宋" w:hAnsi="仿宋" w:eastAsia="仿宋" w:cs="仿宋"/>
          <w:color w:val="auto"/>
          <w:sz w:val="32"/>
          <w:szCs w:val="32"/>
          <w:u w:val="none"/>
          <w:lang w:val="en-US" w:eastAsia="zh-CN"/>
        </w:rPr>
        <w:t>部分科普创新基础条件较好的县（市、区），给予经费资助。重点用于“百县千镇万村科普赋能惠民行动”，包括乡村科普基础设施建设、乡村科普活动</w:t>
      </w:r>
      <w:r>
        <w:rPr>
          <w:rFonts w:hint="eastAsia" w:ascii="仿宋" w:hAnsi="仿宋" w:eastAsia="仿宋" w:cs="仿宋"/>
          <w:color w:val="auto"/>
          <w:sz w:val="32"/>
          <w:szCs w:val="32"/>
          <w:u w:val="none"/>
          <w:lang w:eastAsia="zh-CN"/>
        </w:rPr>
        <w:t>、科普组织建设、科普队伍建设、乡村优质科普资源开发等方面，</w:t>
      </w:r>
      <w:r>
        <w:rPr>
          <w:rFonts w:hint="eastAsia" w:ascii="仿宋" w:hAnsi="仿宋" w:eastAsia="仿宋" w:cs="仿宋"/>
          <w:color w:val="auto"/>
          <w:sz w:val="32"/>
          <w:szCs w:val="32"/>
          <w:u w:val="none"/>
          <w:lang w:val="en-US" w:eastAsia="zh-CN"/>
        </w:rPr>
        <w:t>聚焦更新理念、整合资源、发展队伍、建立机制等改革创新工作，彰显科普在提升人口素质、推动产业科技创新、富民强县等方面的独特作用，为赋能“百千万”工程、推动高质量发展作出科普贡献。</w:t>
      </w:r>
    </w:p>
    <w:p w14:paraId="43DD0B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（二）考核指标</w:t>
      </w:r>
    </w:p>
    <w:p w14:paraId="21F75C5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本项目聚焦提升县域整体科普能力，具体建设内容和实施方法由申报单位结合本地区实际研究提出，考核指标将根据各申报单位提交申报书内容以及专家评审意见共同确定。</w:t>
      </w:r>
    </w:p>
    <w:p w14:paraId="13DFB1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（三）申报条件</w:t>
      </w:r>
    </w:p>
    <w:p w14:paraId="47E231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粤东粤西粤北以及珠三角欠发达地区县（市、区）科协。</w:t>
      </w:r>
    </w:p>
    <w:p w14:paraId="17D717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（四）资助金额</w:t>
      </w:r>
    </w:p>
    <w:p w14:paraId="2F5382F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bCs/>
          <w:color w:val="auto"/>
          <w:sz w:val="30"/>
          <w:szCs w:val="30"/>
          <w:u w:val="none"/>
          <w:lang w:val="en-US" w:eastAsia="zh-CN"/>
        </w:rPr>
      </w:pPr>
      <w:r>
        <w:rPr>
          <w:rFonts w:hint="eastAsia" w:ascii="仿宋" w:hAnsi="仿宋" w:eastAsia="仿宋" w:cs="仿宋"/>
          <w:color w:val="auto"/>
          <w:sz w:val="32"/>
          <w:szCs w:val="32"/>
          <w:u w:val="none"/>
          <w:lang w:val="en-US" w:eastAsia="zh-CN"/>
        </w:rPr>
        <w:t>每个项目资助20-30万元经费。</w:t>
      </w:r>
    </w:p>
    <w:p w14:paraId="58AC1C2A">
      <w:pPr>
        <w:keepNext w:val="0"/>
        <w:keepLines w:val="0"/>
        <w:pageBreakBefore w:val="0"/>
        <w:widowControl w:val="0"/>
        <w:kinsoku/>
        <w:wordWrap/>
        <w:overflowPunct/>
        <w:topLinePunct w:val="0"/>
        <w:autoSpaceDE/>
        <w:autoSpaceDN/>
        <w:bidi w:val="0"/>
        <w:adjustRightInd/>
        <w:snapToGrid/>
        <w:spacing w:line="580" w:lineRule="exact"/>
        <w:ind w:firstLine="720" w:firstLineChars="200"/>
        <w:textAlignment w:val="auto"/>
        <w:rPr>
          <w:rFonts w:hint="eastAsia" w:ascii="华文中宋" w:hAnsi="华文中宋" w:eastAsia="华文中宋" w:cs="华文中宋"/>
          <w:color w:val="auto"/>
          <w:sz w:val="36"/>
          <w:szCs w:val="36"/>
          <w:u w:val="none"/>
          <w:lang w:val="en-US" w:eastAsia="zh-CN"/>
        </w:rPr>
      </w:pPr>
    </w:p>
    <w:p w14:paraId="190FA03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color w:val="auto"/>
          <w:sz w:val="36"/>
          <w:szCs w:val="36"/>
          <w:u w:val="none"/>
          <w:lang w:val="en-US" w:eastAsia="zh-CN"/>
        </w:rPr>
      </w:pPr>
      <w:r>
        <w:rPr>
          <w:rFonts w:hint="eastAsia" w:ascii="黑体" w:hAnsi="黑体" w:eastAsia="黑体" w:cs="黑体"/>
          <w:color w:val="auto"/>
          <w:sz w:val="36"/>
          <w:szCs w:val="36"/>
          <w:u w:val="none"/>
          <w:lang w:val="en-US" w:eastAsia="zh-CN"/>
        </w:rPr>
        <w:t>专题三：县域科普场馆能力提升</w:t>
      </w:r>
    </w:p>
    <w:p w14:paraId="59C59C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（一）申报内容</w:t>
      </w:r>
    </w:p>
    <w:p w14:paraId="3E8064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为提升县域科普基础条件，扩大我省县（市、区）级科技馆覆盖面，对部分县（市、区）已有科技馆和改建科技馆予以资助，推动县（市、区）依托现有场地，提升特色科普场馆服务能力。县域科普场馆能力提升项目主要用于科技馆运行保障、展品更新、展厅布展等运行工作。</w:t>
      </w:r>
    </w:p>
    <w:p w14:paraId="51DA15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（二）考核指标</w:t>
      </w:r>
    </w:p>
    <w:p w14:paraId="68FCD90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1.常设展厅面积≥1000平方米，具备基本常设展览和教育活动条件，正常开展科普工作；</w:t>
      </w:r>
    </w:p>
    <w:p w14:paraId="684697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2.2027年12月31日前完成常设展厅布展，并免费对外开放。</w:t>
      </w:r>
    </w:p>
    <w:p w14:paraId="7CDAA5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（三）申报条件</w:t>
      </w:r>
    </w:p>
    <w:p w14:paraId="179E54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县（市、区）科协系统所属公益性科技场馆，尚未申报中央财政科技馆免费开放补助资金。</w:t>
      </w:r>
    </w:p>
    <w:p w14:paraId="0A7994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（四）资助金额</w:t>
      </w:r>
    </w:p>
    <w:p w14:paraId="2036EE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每项给予一次性财政补助不少于40万元。</w:t>
      </w:r>
    </w:p>
    <w:p w14:paraId="7AC14F5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华文中宋" w:hAnsi="华文中宋" w:eastAsia="华文中宋" w:cs="华文中宋"/>
          <w:color w:val="auto"/>
          <w:sz w:val="36"/>
          <w:szCs w:val="36"/>
          <w:u w:val="none"/>
          <w:lang w:val="en-US" w:eastAsia="zh-CN"/>
        </w:rPr>
      </w:pPr>
    </w:p>
    <w:p w14:paraId="485BD28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color w:val="auto"/>
          <w:sz w:val="36"/>
          <w:szCs w:val="36"/>
          <w:u w:val="none"/>
          <w:lang w:val="en-US" w:eastAsia="zh-CN"/>
        </w:rPr>
      </w:pPr>
      <w:r>
        <w:rPr>
          <w:rFonts w:hint="eastAsia" w:ascii="黑体" w:hAnsi="黑体" w:eastAsia="黑体" w:cs="黑体"/>
          <w:color w:val="auto"/>
          <w:sz w:val="36"/>
          <w:szCs w:val="36"/>
          <w:u w:val="none"/>
          <w:lang w:val="en-US" w:eastAsia="zh-CN"/>
        </w:rPr>
        <w:t>专题四：“中国流动科技馆”广东省巡展</w:t>
      </w:r>
    </w:p>
    <w:p w14:paraId="778ED2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（一）申报内容</w:t>
      </w:r>
    </w:p>
    <w:p w14:paraId="49688B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为加强全省科普基础条件，提升粤东粤西粤北以及珠三角欠发达地区科普服务能力，在未建科技馆的县（市、区）组织中国流动科技馆广东省巡展，开展科普活动。流动科技馆广东省巡展项目主要用于现有3套流动科技馆的巡展、开展科普活动等费用。</w:t>
      </w:r>
    </w:p>
    <w:p w14:paraId="38E1A8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（二）考核指标</w:t>
      </w:r>
    </w:p>
    <w:p w14:paraId="5E1EE1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1.每套流动科技馆巡展站数不少于3站且免费对公众开放；</w:t>
      </w:r>
    </w:p>
    <w:p w14:paraId="4FDC83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2.每站巡展时间大于3个月，开展科普活动不少于3场，每站惠及群众人数不少于2万人；</w:t>
      </w:r>
    </w:p>
    <w:p w14:paraId="48FF72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3.开展“双进”等馆校结合活动，县（市、区）中小学覆盖率≥80%；</w:t>
      </w:r>
    </w:p>
    <w:p w14:paraId="580F8F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color w:val="000000"/>
          <w:sz w:val="32"/>
          <w:szCs w:val="32"/>
          <w:u w:val="none"/>
          <w:lang w:val="en-US" w:eastAsia="zh-CN"/>
        </w:rPr>
      </w:pPr>
      <w:r>
        <w:rPr>
          <w:rFonts w:hint="eastAsia" w:ascii="仿宋" w:hAnsi="仿宋" w:eastAsia="仿宋" w:cs="仿宋"/>
          <w:color w:val="000000"/>
          <w:sz w:val="32"/>
          <w:szCs w:val="32"/>
          <w:u w:val="none"/>
          <w:lang w:val="en-US" w:eastAsia="zh-CN"/>
        </w:rPr>
        <w:t>4.在尚未巡展的县（市、区）中，完成1个以上县（市、区）巡展科普活动覆盖。</w:t>
      </w:r>
    </w:p>
    <w:p w14:paraId="456FFF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000000"/>
          <w:sz w:val="32"/>
          <w:szCs w:val="32"/>
          <w:u w:val="none"/>
          <w:lang w:val="en-US" w:eastAsia="zh-CN"/>
        </w:rPr>
      </w:pPr>
      <w:r>
        <w:rPr>
          <w:rFonts w:hint="eastAsia" w:ascii="仿宋" w:hAnsi="仿宋" w:eastAsia="仿宋" w:cs="仿宋"/>
          <w:color w:val="000000"/>
          <w:sz w:val="32"/>
          <w:szCs w:val="32"/>
          <w:u w:val="none"/>
          <w:lang w:val="en-US" w:eastAsia="zh-CN"/>
        </w:rPr>
        <w:t>5.群众满意度85%以上。</w:t>
      </w:r>
    </w:p>
    <w:p w14:paraId="6A0709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（三）申报条件</w:t>
      </w:r>
    </w:p>
    <w:p w14:paraId="3197A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流动科技馆广东省巡展项目——已配发中国流动科技馆单位以及粤东粤西粤北地区科协或其所属科技场馆。</w:t>
      </w:r>
    </w:p>
    <w:p w14:paraId="66E8FC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（四）资助金额</w:t>
      </w:r>
    </w:p>
    <w:p w14:paraId="758DD9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每项35万元。</w:t>
      </w:r>
    </w:p>
    <w:p w14:paraId="313072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u w:val="none"/>
          <w:lang w:val="en-US" w:eastAsia="zh-CN"/>
        </w:rPr>
      </w:pPr>
    </w:p>
    <w:p w14:paraId="4833867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color w:val="auto"/>
          <w:sz w:val="36"/>
          <w:szCs w:val="36"/>
          <w:u w:val="none"/>
          <w:lang w:val="en-US" w:eastAsia="zh-CN"/>
        </w:rPr>
      </w:pPr>
      <w:r>
        <w:rPr>
          <w:rFonts w:hint="eastAsia" w:ascii="黑体" w:hAnsi="黑体" w:eastAsia="黑体" w:cs="黑体"/>
          <w:color w:val="auto"/>
          <w:sz w:val="36"/>
          <w:szCs w:val="36"/>
          <w:u w:val="none"/>
          <w:lang w:val="en-US" w:eastAsia="zh-CN"/>
        </w:rPr>
        <w:t>专题五：科普资源研发与共享</w:t>
      </w:r>
    </w:p>
    <w:p w14:paraId="20281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（一）申报内容</w:t>
      </w:r>
    </w:p>
    <w:p w14:paraId="4AB6B9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引导科技工作者充分认识参与科普创作和传播的重要意义，推动科技工作者提升科普创作水平，更好服务公民科学素质提升与科技创新强省建设，支持高等学校、科研院所、企事业单位及广大科技工作者面向基础科学普及、前沿科技领域、技术应用领域、民生相关领域、弘扬科学精神、倡导科学方法、交叉融合科普等内容开展科普创作。作品类型为科普短视频系列、科普图书、科普课程、科普研学线路。作品须符合党的路线、方针、政策，符合国家网络安全和信息化建设相关要求，符合社会主义核心价值观；须科学性、原创性、传播性兼具，注重弘扬创新文化、融入创新思想，思想健康向上、通俗易懂；无抄袭、仿冒等侵权行为。</w:t>
      </w:r>
    </w:p>
    <w:p w14:paraId="197586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（二）要求及指标</w:t>
      </w:r>
    </w:p>
    <w:p w14:paraId="6E4712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科普短视频系列：作品应为原创作品（支持AI辅助创作，不支持完全由AI生成作品），内容独特、形式新颖、制作精良。表述科技知识视角新颖，叙事生动流畅、通俗易懂，能够引导公众认识和正确使用科技成果，启迪科学思维、传授科学方法，引领塑造科学文化氛围，兼具科学性、思想性、传播性和艺术性。要求：1个系列（不少于4个视频组成），系列总时长不低于8分钟，视频格式为 MOV 或 MP4，分辨率不低于 1080P，音效清晰；全平台播放量不少于3万人次。</w:t>
      </w:r>
    </w:p>
    <w:p w14:paraId="621812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2.科普图书：尚未正式</w:t>
      </w:r>
      <w:r>
        <w:rPr>
          <w:rFonts w:hint="eastAsia" w:ascii="仿宋" w:hAnsi="仿宋" w:eastAsia="仿宋" w:cs="仿宋"/>
          <w:sz w:val="32"/>
          <w:szCs w:val="32"/>
          <w:highlight w:val="none"/>
          <w:lang w:val="en-US" w:eastAsia="zh-CN"/>
        </w:rPr>
        <w:t>出版且未获得过各类项目经费资助的原创科普图书。</w:t>
      </w:r>
      <w:r>
        <w:rPr>
          <w:rFonts w:hint="eastAsia" w:ascii="仿宋" w:hAnsi="仿宋" w:eastAsia="仿宋" w:cs="仿宋"/>
          <w:sz w:val="32"/>
          <w:szCs w:val="32"/>
          <w:lang w:val="en-US" w:eastAsia="zh-CN"/>
        </w:rPr>
        <w:t>作品内容框架完整、章节划分清晰、逻辑严谨连贯，兼顾系统性、专业性与大众可读性。紧扣受众定位精准创作，融入真实案例、科普故事、科学数据等内容，说服力与实用性强。标题精准凝练，章节衔接流畅，文风统一、行文严谨生动，能引导读者深入探究学习。报送格式为WORD、WPS、PDF，字数不限。不接受教材、教辅、学术专著、论文汇编、纯电子读物。要求：</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lang w:val="en-US" w:eastAsia="zh-CN"/>
        </w:rPr>
        <w:t>本；结合图书内容撰写推文不少于1篇或推广短视频不少于1个。</w:t>
      </w:r>
    </w:p>
    <w:p w14:paraId="7B7175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科普课程：适配科普场馆线下教学、研学实践、线上展教等多场景，结合场馆展项、实验资源及教育活动，针对青少年及社会公众分层设计。课程紧扣科普主题，兼具科学性、探究性、互动性与体验性。课程须包含全套教案、课件、讲解词，教案涵盖教学目标、授课对象、课时时长、教学流程、重点难点、探究实验、课后拓展等模块。内容科学严谨、分层清晰、语言通俗，适配多场景教学使用，报送格式为WORD、WPS、PDF、PPT。要求：1个；结合课程开展不少于5场实践，每场参与人数不少于</w:t>
      </w:r>
      <w:r>
        <w:rPr>
          <w:rFonts w:hint="eastAsia" w:ascii="仿宋" w:hAnsi="仿宋" w:eastAsia="仿宋" w:cs="仿宋"/>
          <w:sz w:val="32"/>
          <w:szCs w:val="32"/>
          <w:highlight w:val="none"/>
          <w:lang w:val="en-US" w:eastAsia="zh-CN"/>
        </w:rPr>
        <w:t>50</w:t>
      </w:r>
      <w:r>
        <w:rPr>
          <w:rFonts w:hint="eastAsia" w:ascii="仿宋" w:hAnsi="仿宋" w:eastAsia="仿宋" w:cs="仿宋"/>
          <w:sz w:val="32"/>
          <w:szCs w:val="32"/>
          <w:lang w:val="en-US" w:eastAsia="zh-CN"/>
        </w:rPr>
        <w:t>人。</w:t>
      </w:r>
    </w:p>
    <w:p w14:paraId="3F3038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科普研学：立足广东本土科普资源设计，主题鲜明、定位精准，可围绕人工智能、航天航空、生态环保、生命科学、现代农业、防灾减灾等方向创作。单条线路不少于3个科普研学点位，兼具知识性、体验性、实践性与落地性。作品需包含完整线路方案、行程安排、科普知识点、研学课程、体验活动及安全保障等内容，配套实景配图，报送格式为WORD文档。要求：开发研学线路不少于1条，研学课程不少于1个，体验活动不少于1场，全年开展研学活动不少于10场，服务公众不少于500人次。</w:t>
      </w:r>
    </w:p>
    <w:p w14:paraId="23FE29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以上作品类型选择1项申报，受资助作品优先在广东科普平台发布。</w:t>
      </w:r>
    </w:p>
    <w:p w14:paraId="0713C7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（三）申报条件</w:t>
      </w:r>
    </w:p>
    <w:p w14:paraId="4BECEB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基层科协、省级学会（协会、研究会），省级以上科普教育基地，高等学校、科研院所、企事业单位科普工作团队，团队核心成员中具备中级以上职称的不少于3人。</w:t>
      </w:r>
    </w:p>
    <w:p w14:paraId="2B48C3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（四）资助金额</w:t>
      </w:r>
    </w:p>
    <w:p w14:paraId="254A50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每项5万元。</w:t>
      </w:r>
    </w:p>
    <w:p w14:paraId="1A48C712"/>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C5AA9D-1F31-4A4F-9DD8-749F239CC1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00436EE-8A11-49A2-A75C-42DF5AA41F85}"/>
  </w:font>
  <w:font w:name="方正小标宋_GBK">
    <w:panose1 w:val="02000000000000000000"/>
    <w:charset w:val="86"/>
    <w:family w:val="auto"/>
    <w:pitch w:val="default"/>
    <w:sig w:usb0="00000001" w:usb1="080E0000" w:usb2="00000000" w:usb3="00000000" w:csb0="00040000" w:csb1="00000000"/>
    <w:embedRegular r:id="rId3" w:fontKey="{11C6F343-57B6-4555-AA5D-4D6327A06F87}"/>
  </w:font>
  <w:font w:name="仿宋">
    <w:panose1 w:val="02010609060101010101"/>
    <w:charset w:val="86"/>
    <w:family w:val="modern"/>
    <w:pitch w:val="default"/>
    <w:sig w:usb0="800002BF" w:usb1="38CF7CFA" w:usb2="00000016" w:usb3="00000000" w:csb0="00040001" w:csb1="00000000"/>
    <w:embedRegular r:id="rId4" w:fontKey="{DFDE750C-61CD-49DF-A05B-D923F323EF0B}"/>
  </w:font>
  <w:font w:name="华文中宋">
    <w:panose1 w:val="02010600040101010101"/>
    <w:charset w:val="86"/>
    <w:family w:val="auto"/>
    <w:pitch w:val="default"/>
    <w:sig w:usb0="00000287" w:usb1="080F0000" w:usb2="00000000" w:usb3="00000000" w:csb0="0004009F" w:csb1="DFD70000"/>
    <w:embedRegular r:id="rId5" w:fontKey="{CA3B8680-2F34-4898-8B81-C07A5826F416}"/>
  </w:font>
  <w:font w:name="楷体_GB2312">
    <w:altName w:val="楷体"/>
    <w:panose1 w:val="02010609030101010101"/>
    <w:charset w:val="86"/>
    <w:family w:val="modern"/>
    <w:pitch w:val="default"/>
    <w:sig w:usb0="00000000" w:usb1="00000000" w:usb2="00000000" w:usb3="00000000" w:csb0="00040000" w:csb1="00000000"/>
    <w:embedRegular r:id="rId6" w:fontKey="{E76A5996-054F-4097-A668-D9373E753352}"/>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7" w:fontKey="{FAA74504-4766-4765-B047-71B55E03E6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A2D8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B974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7B974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7F004E"/>
    <w:rsid w:val="3C3E6D0A"/>
    <w:rsid w:val="44114AB5"/>
    <w:rsid w:val="4D7F6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uiPriority w:val="99"/>
    <w:pPr>
      <w:spacing w:after="120"/>
    </w:pPr>
    <w:rPr>
      <w:szCs w:val="2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2873</Words>
  <Characters>2957</Characters>
  <Lines>0</Lines>
  <Paragraphs>0</Paragraphs>
  <TotalTime>0</TotalTime>
  <ScaleCrop>false</ScaleCrop>
  <LinksUpToDate>false</LinksUpToDate>
  <CharactersWithSpaces>2961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2026-09-20T10:21:00Z</dcterms:created>
  <dc:creator>Administrator</dc:creator>
  <cp:lastModifiedBy>王滢</cp:lastModifiedBy>
  <dcterms:modified xsi:type="dcterms:W3CDTF">2026-09-20T10:29:10Z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eyJoZGlkIjoiYmM4NmZkZDAxZDY1NmFmYzE0MzJkMzBlYzRjZTMyOTkiLCJ1c2VySWQiOiI0NDA3MDM0NTQifQ==</vt:lpwstr>
  </property>
  <property fmtid="{D5CDD505-2E9C-101B-9397-08002B2CF9AE}" pid="4" name="ICV">
    <vt:lpwstr>215BA461445A43109CE379638920DE37_12</vt:lpwstr>
  </property>
</Properties>
</file>