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F31FADA">
      <w:pPr>
        <w:spacing w:line="560" w:lineRule="exact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1</w:t>
      </w:r>
      <w:bookmarkStart w:id="0" w:name="_GoBack"/>
      <w:bookmarkEnd w:id="0"/>
    </w:p>
    <w:p w14:paraId="4A3F4788">
      <w:pPr>
        <w:snapToGrid w:val="0"/>
        <w:spacing w:line="560" w:lineRule="exact"/>
        <w:jc w:val="left"/>
        <w:rPr>
          <w:rFonts w:ascii="黑体" w:hAnsi="黑体" w:eastAsia="黑体"/>
          <w:sz w:val="32"/>
          <w:szCs w:val="32"/>
        </w:rPr>
      </w:pPr>
    </w:p>
    <w:p w14:paraId="343DEB91">
      <w:pPr>
        <w:snapToGrid w:val="0"/>
        <w:spacing w:line="660" w:lineRule="exact"/>
        <w:jc w:val="center"/>
        <w:rPr>
          <w:rFonts w:ascii="方正小标宋简体" w:hAnsi="Times New Roman" w:eastAsia="方正小标宋简体"/>
          <w:sz w:val="44"/>
          <w:szCs w:val="44"/>
        </w:rPr>
      </w:pPr>
      <w:r>
        <w:rPr>
          <w:rFonts w:hint="eastAsia" w:ascii="方正小标宋简体" w:hAnsi="Times New Roman" w:eastAsia="方正小标宋简体"/>
          <w:sz w:val="44"/>
          <w:szCs w:val="44"/>
        </w:rPr>
        <w:t>2025年第八届“高创杯”广东高校科技成果转化路演大赛评审标准</w:t>
      </w:r>
    </w:p>
    <w:p w14:paraId="18D56CA2">
      <w:pPr>
        <w:pStyle w:val="2"/>
        <w:ind w:left="210"/>
      </w:pPr>
    </w:p>
    <w:p w14:paraId="61B7EC5F">
      <w:pPr>
        <w:autoSpaceDE w:val="0"/>
        <w:autoSpaceDN w:val="0"/>
        <w:adjustRightInd w:val="0"/>
        <w:spacing w:line="560" w:lineRule="exact"/>
        <w:ind w:firstLine="640" w:firstLineChars="200"/>
        <w:jc w:val="left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一、高教赛道、职教赛道评审标准</w:t>
      </w:r>
    </w:p>
    <w:tbl>
      <w:tblPr>
        <w:tblStyle w:val="10"/>
        <w:tblW w:w="5059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253"/>
        <w:gridCol w:w="1466"/>
        <w:gridCol w:w="5011"/>
        <w:gridCol w:w="1240"/>
      </w:tblGrid>
      <w:tr w14:paraId="6129F5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567" w:hRule="exact"/>
          <w:tblHeader/>
          <w:jc w:val="center"/>
        </w:trPr>
        <w:tc>
          <w:tcPr>
            <w:tcW w:w="1253" w:type="dxa"/>
            <w:noWrap w:val="0"/>
            <w:vAlign w:val="center"/>
          </w:tcPr>
          <w:p w14:paraId="61BFDF33">
            <w:pPr>
              <w:jc w:val="center"/>
              <w:rPr>
                <w:rFonts w:ascii="Times New Roman" w:hAnsi="Times New Roman" w:eastAsia="黑体"/>
                <w:b/>
                <w:bCs/>
                <w:szCs w:val="21"/>
              </w:rPr>
            </w:pPr>
            <w:r>
              <w:rPr>
                <w:rFonts w:hint="eastAsia" w:ascii="Times New Roman" w:hAnsi="Times New Roman" w:eastAsia="黑体"/>
                <w:b/>
                <w:bCs/>
                <w:szCs w:val="21"/>
              </w:rPr>
              <w:t>一级指标</w:t>
            </w:r>
          </w:p>
        </w:tc>
        <w:tc>
          <w:tcPr>
            <w:tcW w:w="1466" w:type="dxa"/>
            <w:noWrap w:val="0"/>
            <w:vAlign w:val="center"/>
          </w:tcPr>
          <w:p w14:paraId="7443B27F">
            <w:pPr>
              <w:jc w:val="center"/>
              <w:rPr>
                <w:rFonts w:ascii="Times New Roman" w:hAnsi="Times New Roman" w:eastAsia="黑体"/>
                <w:b/>
                <w:bCs/>
                <w:szCs w:val="21"/>
              </w:rPr>
            </w:pPr>
            <w:r>
              <w:rPr>
                <w:rFonts w:hint="eastAsia" w:ascii="Times New Roman" w:hAnsi="Times New Roman" w:eastAsia="黑体"/>
                <w:b/>
                <w:bCs/>
                <w:szCs w:val="21"/>
              </w:rPr>
              <w:t>二级指标</w:t>
            </w:r>
          </w:p>
        </w:tc>
        <w:tc>
          <w:tcPr>
            <w:tcW w:w="5011" w:type="dxa"/>
            <w:noWrap w:val="0"/>
            <w:vAlign w:val="center"/>
          </w:tcPr>
          <w:p w14:paraId="2FF20CE6">
            <w:pPr>
              <w:jc w:val="center"/>
              <w:rPr>
                <w:rFonts w:ascii="Times New Roman" w:hAnsi="Times New Roman" w:eastAsia="黑体"/>
                <w:b/>
                <w:bCs/>
                <w:szCs w:val="21"/>
              </w:rPr>
            </w:pPr>
            <w:r>
              <w:rPr>
                <w:rFonts w:hint="eastAsia" w:ascii="Times New Roman" w:hAnsi="Times New Roman" w:eastAsia="黑体"/>
                <w:b/>
                <w:bCs/>
                <w:szCs w:val="21"/>
              </w:rPr>
              <w:t>评价标准</w:t>
            </w:r>
          </w:p>
        </w:tc>
        <w:tc>
          <w:tcPr>
            <w:tcW w:w="1240" w:type="dxa"/>
            <w:noWrap w:val="0"/>
            <w:vAlign w:val="center"/>
          </w:tcPr>
          <w:p w14:paraId="7AD948C4">
            <w:pPr>
              <w:jc w:val="center"/>
              <w:rPr>
                <w:rFonts w:ascii="Times New Roman" w:hAnsi="Times New Roman" w:eastAsia="黑体"/>
                <w:b/>
                <w:bCs/>
                <w:szCs w:val="21"/>
              </w:rPr>
            </w:pPr>
            <w:r>
              <w:rPr>
                <w:rFonts w:hint="eastAsia" w:ascii="Times New Roman" w:hAnsi="Times New Roman" w:eastAsia="黑体"/>
                <w:b/>
                <w:bCs/>
                <w:szCs w:val="21"/>
              </w:rPr>
              <w:t>最高分值</w:t>
            </w:r>
          </w:p>
        </w:tc>
      </w:tr>
      <w:tr w14:paraId="50DDDB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737" w:hRule="exact"/>
          <w:jc w:val="center"/>
        </w:trPr>
        <w:tc>
          <w:tcPr>
            <w:tcW w:w="1253" w:type="dxa"/>
            <w:vMerge w:val="restart"/>
            <w:noWrap w:val="0"/>
            <w:vAlign w:val="center"/>
          </w:tcPr>
          <w:p w14:paraId="6000EF77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项目团队</w:t>
            </w:r>
          </w:p>
        </w:tc>
        <w:tc>
          <w:tcPr>
            <w:tcW w:w="1466" w:type="dxa"/>
            <w:noWrap w:val="0"/>
            <w:vAlign w:val="center"/>
          </w:tcPr>
          <w:p w14:paraId="4A4A1D0F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知识水平及工作经验</w:t>
            </w:r>
          </w:p>
        </w:tc>
        <w:tc>
          <w:tcPr>
            <w:tcW w:w="5011" w:type="dxa"/>
            <w:noWrap w:val="0"/>
            <w:vAlign w:val="center"/>
          </w:tcPr>
          <w:p w14:paraId="68DF3100">
            <w:pPr>
              <w:tabs>
                <w:tab w:val="left" w:pos="312"/>
              </w:tabs>
              <w:spacing w:line="360" w:lineRule="exact"/>
              <w:jc w:val="lef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团队带头人及核心团队专业知识水平、工作经历、创新思想、价值观念等情况。</w:t>
            </w:r>
          </w:p>
        </w:tc>
        <w:tc>
          <w:tcPr>
            <w:tcW w:w="1240" w:type="dxa"/>
            <w:noWrap w:val="0"/>
            <w:vAlign w:val="center"/>
          </w:tcPr>
          <w:p w14:paraId="323F0FF0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8</w:t>
            </w:r>
          </w:p>
        </w:tc>
      </w:tr>
      <w:tr w14:paraId="43A053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454" w:hRule="exact"/>
          <w:jc w:val="center"/>
        </w:trPr>
        <w:tc>
          <w:tcPr>
            <w:tcW w:w="1253" w:type="dxa"/>
            <w:vMerge w:val="continue"/>
            <w:noWrap w:val="0"/>
            <w:vAlign w:val="center"/>
          </w:tcPr>
          <w:p w14:paraId="62726662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6" w:type="dxa"/>
            <w:noWrap w:val="0"/>
            <w:vAlign w:val="center"/>
          </w:tcPr>
          <w:p w14:paraId="0DE3244E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团队结构</w:t>
            </w:r>
          </w:p>
        </w:tc>
        <w:tc>
          <w:tcPr>
            <w:tcW w:w="5011" w:type="dxa"/>
            <w:noWrap w:val="0"/>
            <w:vAlign w:val="center"/>
          </w:tcPr>
          <w:p w14:paraId="48B1246B">
            <w:pPr>
              <w:tabs>
                <w:tab w:val="left" w:pos="312"/>
              </w:tabs>
              <w:spacing w:line="360" w:lineRule="exact"/>
              <w:jc w:val="lef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团队成员年龄、知识背景、能力结构是否合理。</w:t>
            </w:r>
          </w:p>
        </w:tc>
        <w:tc>
          <w:tcPr>
            <w:tcW w:w="1240" w:type="dxa"/>
            <w:noWrap w:val="0"/>
            <w:vAlign w:val="center"/>
          </w:tcPr>
          <w:p w14:paraId="529AB66F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6</w:t>
            </w:r>
          </w:p>
        </w:tc>
      </w:tr>
      <w:tr w14:paraId="2ADB0E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737" w:hRule="exact"/>
          <w:jc w:val="center"/>
        </w:trPr>
        <w:tc>
          <w:tcPr>
            <w:tcW w:w="1253" w:type="dxa"/>
            <w:vMerge w:val="continue"/>
            <w:noWrap w:val="0"/>
            <w:vAlign w:val="center"/>
          </w:tcPr>
          <w:p w14:paraId="43F0B639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6" w:type="dxa"/>
            <w:noWrap w:val="0"/>
            <w:vAlign w:val="center"/>
          </w:tcPr>
          <w:p w14:paraId="0633932A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稳定程度</w:t>
            </w:r>
          </w:p>
        </w:tc>
        <w:tc>
          <w:tcPr>
            <w:tcW w:w="5011" w:type="dxa"/>
            <w:noWrap w:val="0"/>
            <w:vAlign w:val="center"/>
          </w:tcPr>
          <w:p w14:paraId="20D3A455">
            <w:pPr>
              <w:tabs>
                <w:tab w:val="left" w:pos="312"/>
              </w:tabs>
              <w:spacing w:line="360" w:lineRule="exact"/>
              <w:jc w:val="lef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团队成员投入时间与投入精力有保证，团队合作稳定性，持续研发计划及支持经费来源。</w:t>
            </w:r>
          </w:p>
        </w:tc>
        <w:tc>
          <w:tcPr>
            <w:tcW w:w="1240" w:type="dxa"/>
            <w:noWrap w:val="0"/>
            <w:vAlign w:val="center"/>
          </w:tcPr>
          <w:p w14:paraId="2EB989DD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6</w:t>
            </w:r>
          </w:p>
        </w:tc>
      </w:tr>
      <w:tr w14:paraId="514833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737" w:hRule="exact"/>
          <w:jc w:val="center"/>
        </w:trPr>
        <w:tc>
          <w:tcPr>
            <w:tcW w:w="1253" w:type="dxa"/>
            <w:vMerge w:val="restart"/>
            <w:noWrap w:val="0"/>
            <w:vAlign w:val="center"/>
          </w:tcPr>
          <w:p w14:paraId="4CAEFB85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  <w:highlight w:val="yellow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科技含量</w:t>
            </w:r>
          </w:p>
        </w:tc>
        <w:tc>
          <w:tcPr>
            <w:tcW w:w="1466" w:type="dxa"/>
            <w:noWrap w:val="0"/>
            <w:vAlign w:val="center"/>
          </w:tcPr>
          <w:p w14:paraId="08F1846B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  <w:highlight w:val="yellow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主体技术水平</w:t>
            </w:r>
          </w:p>
        </w:tc>
        <w:tc>
          <w:tcPr>
            <w:tcW w:w="5011" w:type="dxa"/>
            <w:noWrap w:val="0"/>
            <w:vAlign w:val="center"/>
          </w:tcPr>
          <w:p w14:paraId="4B18DD71">
            <w:pPr>
              <w:tabs>
                <w:tab w:val="left" w:pos="312"/>
              </w:tabs>
              <w:spacing w:line="360" w:lineRule="exact"/>
              <w:jc w:val="lef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在关键技术上有所突破，整体技术和核心技术指标达到先进水平的情况。</w:t>
            </w:r>
          </w:p>
          <w:p w14:paraId="4618AC17">
            <w:pPr>
              <w:tabs>
                <w:tab w:val="left" w:pos="312"/>
              </w:tabs>
              <w:spacing w:line="360" w:lineRule="exact"/>
              <w:jc w:val="left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240" w:type="dxa"/>
            <w:noWrap w:val="0"/>
            <w:vAlign w:val="center"/>
          </w:tcPr>
          <w:p w14:paraId="6769F305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10</w:t>
            </w:r>
          </w:p>
        </w:tc>
      </w:tr>
      <w:tr w14:paraId="3F7D6B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686" w:hRule="exact"/>
          <w:jc w:val="center"/>
        </w:trPr>
        <w:tc>
          <w:tcPr>
            <w:tcW w:w="1253" w:type="dxa"/>
            <w:vMerge w:val="continue"/>
            <w:noWrap w:val="0"/>
            <w:vAlign w:val="center"/>
          </w:tcPr>
          <w:p w14:paraId="64D918BD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6" w:type="dxa"/>
            <w:noWrap w:val="0"/>
            <w:vAlign w:val="center"/>
          </w:tcPr>
          <w:p w14:paraId="114F890D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技术优势</w:t>
            </w:r>
          </w:p>
        </w:tc>
        <w:tc>
          <w:tcPr>
            <w:tcW w:w="5011" w:type="dxa"/>
            <w:noWrap w:val="0"/>
            <w:vAlign w:val="center"/>
          </w:tcPr>
          <w:p w14:paraId="521627B7">
            <w:pPr>
              <w:tabs>
                <w:tab w:val="left" w:pos="312"/>
              </w:tabs>
              <w:spacing w:line="360" w:lineRule="exact"/>
              <w:jc w:val="lef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核心技术不易被模仿或被替代。</w:t>
            </w:r>
          </w:p>
        </w:tc>
        <w:tc>
          <w:tcPr>
            <w:tcW w:w="1240" w:type="dxa"/>
            <w:noWrap w:val="0"/>
            <w:vAlign w:val="center"/>
          </w:tcPr>
          <w:p w14:paraId="55A27B7E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10</w:t>
            </w:r>
          </w:p>
        </w:tc>
      </w:tr>
      <w:tr w14:paraId="2A4D23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611" w:hRule="exact"/>
          <w:jc w:val="center"/>
        </w:trPr>
        <w:tc>
          <w:tcPr>
            <w:tcW w:w="1253" w:type="dxa"/>
            <w:vMerge w:val="continue"/>
            <w:noWrap w:val="0"/>
            <w:vAlign w:val="center"/>
          </w:tcPr>
          <w:p w14:paraId="58C40B54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6" w:type="dxa"/>
            <w:noWrap w:val="0"/>
            <w:vAlign w:val="center"/>
          </w:tcPr>
          <w:p w14:paraId="41CB95C7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进入壁垒</w:t>
            </w:r>
          </w:p>
        </w:tc>
        <w:tc>
          <w:tcPr>
            <w:tcW w:w="5011" w:type="dxa"/>
            <w:noWrap w:val="0"/>
            <w:vAlign w:val="center"/>
          </w:tcPr>
          <w:p w14:paraId="31258D1D">
            <w:pPr>
              <w:tabs>
                <w:tab w:val="left" w:pos="312"/>
              </w:tabs>
              <w:spacing w:line="360" w:lineRule="exact"/>
              <w:jc w:val="lef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不存在政策、环境、市场准入等方面的制约。</w:t>
            </w:r>
          </w:p>
        </w:tc>
        <w:tc>
          <w:tcPr>
            <w:tcW w:w="1240" w:type="dxa"/>
            <w:noWrap w:val="0"/>
            <w:vAlign w:val="center"/>
          </w:tcPr>
          <w:p w14:paraId="42AB59B9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10</w:t>
            </w:r>
          </w:p>
        </w:tc>
      </w:tr>
      <w:tr w14:paraId="0C12A6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737" w:hRule="atLeast"/>
          <w:jc w:val="center"/>
        </w:trPr>
        <w:tc>
          <w:tcPr>
            <w:tcW w:w="1253" w:type="dxa"/>
            <w:vMerge w:val="restart"/>
            <w:noWrap w:val="0"/>
            <w:vAlign w:val="center"/>
          </w:tcPr>
          <w:p w14:paraId="3EF61B8E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市场机会</w:t>
            </w:r>
          </w:p>
        </w:tc>
        <w:tc>
          <w:tcPr>
            <w:tcW w:w="1466" w:type="dxa"/>
            <w:vMerge w:val="restart"/>
            <w:noWrap w:val="0"/>
            <w:vAlign w:val="center"/>
          </w:tcPr>
          <w:p w14:paraId="302FE861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市场前景</w:t>
            </w:r>
          </w:p>
        </w:tc>
        <w:tc>
          <w:tcPr>
            <w:tcW w:w="5011" w:type="dxa"/>
            <w:noWrap w:val="0"/>
            <w:vAlign w:val="center"/>
          </w:tcPr>
          <w:p w14:paraId="390BA82F">
            <w:pPr>
              <w:tabs>
                <w:tab w:val="left" w:pos="312"/>
              </w:tabs>
              <w:spacing w:line="360" w:lineRule="exact"/>
              <w:jc w:val="lef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1.市场需求：目标客户明确，市场需求较大，产品或服务市场认可度高并能快速进入。</w:t>
            </w:r>
          </w:p>
        </w:tc>
        <w:tc>
          <w:tcPr>
            <w:tcW w:w="1240" w:type="dxa"/>
            <w:noWrap w:val="0"/>
            <w:vAlign w:val="center"/>
          </w:tcPr>
          <w:p w14:paraId="0A4E2A4E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7</w:t>
            </w:r>
          </w:p>
        </w:tc>
      </w:tr>
      <w:tr w14:paraId="22C769B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737" w:hRule="exact"/>
          <w:jc w:val="center"/>
        </w:trPr>
        <w:tc>
          <w:tcPr>
            <w:tcW w:w="1253" w:type="dxa"/>
            <w:vMerge w:val="continue"/>
            <w:noWrap w:val="0"/>
            <w:vAlign w:val="center"/>
          </w:tcPr>
          <w:p w14:paraId="2E3146BF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6" w:type="dxa"/>
            <w:vMerge w:val="continue"/>
            <w:noWrap w:val="0"/>
            <w:vAlign w:val="center"/>
          </w:tcPr>
          <w:p w14:paraId="2C5DE3AE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5011" w:type="dxa"/>
            <w:noWrap w:val="0"/>
            <w:vAlign w:val="center"/>
          </w:tcPr>
          <w:p w14:paraId="63067FE5">
            <w:pPr>
              <w:tabs>
                <w:tab w:val="left" w:pos="312"/>
              </w:tabs>
              <w:spacing w:line="360" w:lineRule="exact"/>
              <w:jc w:val="left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2.市场价值：产品在供应链上游及下游的话语权、专业能力及不可替代性。</w:t>
            </w:r>
          </w:p>
        </w:tc>
        <w:tc>
          <w:tcPr>
            <w:tcW w:w="1240" w:type="dxa"/>
            <w:noWrap w:val="0"/>
            <w:vAlign w:val="center"/>
          </w:tcPr>
          <w:p w14:paraId="21AFF8DB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8</w:t>
            </w:r>
          </w:p>
        </w:tc>
      </w:tr>
      <w:tr w14:paraId="7E4AC3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737" w:hRule="exact"/>
          <w:jc w:val="center"/>
        </w:trPr>
        <w:tc>
          <w:tcPr>
            <w:tcW w:w="1253" w:type="dxa"/>
            <w:vMerge w:val="continue"/>
            <w:noWrap w:val="0"/>
            <w:vAlign w:val="center"/>
          </w:tcPr>
          <w:p w14:paraId="5182E9E5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6" w:type="dxa"/>
            <w:noWrap w:val="0"/>
            <w:vAlign w:val="center"/>
          </w:tcPr>
          <w:p w14:paraId="61B2FB0D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  <w:lang w:val="zh-TW" w:eastAsia="zh-TW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知识产权保护</w:t>
            </w:r>
          </w:p>
        </w:tc>
        <w:tc>
          <w:tcPr>
            <w:tcW w:w="5011" w:type="dxa"/>
            <w:noWrap w:val="0"/>
            <w:vAlign w:val="center"/>
          </w:tcPr>
          <w:p w14:paraId="3E4A2380">
            <w:pPr>
              <w:tabs>
                <w:tab w:val="left" w:pos="312"/>
              </w:tabs>
              <w:spacing w:line="360" w:lineRule="exact"/>
              <w:jc w:val="left"/>
              <w:rPr>
                <w:rFonts w:ascii="Times New Roman" w:hAnsi="Times New Roman" w:eastAsia="仿宋_GB2312"/>
                <w:szCs w:val="21"/>
                <w:lang w:val="zh-TW" w:eastAsia="zh-TW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成果知识产权清晰无争议，有知识产权成果池或完善的知识产权保护计划。</w:t>
            </w:r>
          </w:p>
        </w:tc>
        <w:tc>
          <w:tcPr>
            <w:tcW w:w="1240" w:type="dxa"/>
            <w:noWrap w:val="0"/>
            <w:vAlign w:val="center"/>
          </w:tcPr>
          <w:p w14:paraId="06F8974F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10</w:t>
            </w:r>
          </w:p>
        </w:tc>
      </w:tr>
      <w:tr w14:paraId="08A1E3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454" w:hRule="exact"/>
          <w:jc w:val="center"/>
        </w:trPr>
        <w:tc>
          <w:tcPr>
            <w:tcW w:w="1253" w:type="dxa"/>
            <w:vMerge w:val="continue"/>
            <w:noWrap w:val="0"/>
            <w:vAlign w:val="center"/>
          </w:tcPr>
          <w:p w14:paraId="411D9C7F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6" w:type="dxa"/>
            <w:vMerge w:val="restart"/>
            <w:noWrap w:val="0"/>
            <w:vAlign w:val="center"/>
          </w:tcPr>
          <w:p w14:paraId="09066384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  <w:lang w:val="zh-TW" w:eastAsia="zh-TW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技术成熟度</w:t>
            </w:r>
          </w:p>
        </w:tc>
        <w:tc>
          <w:tcPr>
            <w:tcW w:w="5011" w:type="dxa"/>
            <w:noWrap w:val="0"/>
            <w:vAlign w:val="center"/>
          </w:tcPr>
          <w:p w14:paraId="6E27536E">
            <w:pPr>
              <w:tabs>
                <w:tab w:val="left" w:pos="312"/>
              </w:tabs>
              <w:spacing w:line="360" w:lineRule="exact"/>
              <w:jc w:val="left"/>
              <w:rPr>
                <w:rFonts w:ascii="Times New Roman" w:hAnsi="Times New Roman" w:eastAsia="仿宋_GB2312"/>
                <w:szCs w:val="21"/>
                <w:lang w:val="zh-TW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1.核心技术比较成熟，配套技术基本具备。</w:t>
            </w:r>
          </w:p>
        </w:tc>
        <w:tc>
          <w:tcPr>
            <w:tcW w:w="1240" w:type="dxa"/>
            <w:noWrap w:val="0"/>
            <w:vAlign w:val="center"/>
          </w:tcPr>
          <w:p w14:paraId="3804D7E6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7</w:t>
            </w:r>
          </w:p>
        </w:tc>
      </w:tr>
      <w:tr w14:paraId="3A24F8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737" w:hRule="exact"/>
          <w:jc w:val="center"/>
        </w:trPr>
        <w:tc>
          <w:tcPr>
            <w:tcW w:w="1253" w:type="dxa"/>
            <w:vMerge w:val="continue"/>
            <w:noWrap w:val="0"/>
            <w:vAlign w:val="center"/>
          </w:tcPr>
          <w:p w14:paraId="49DC58F1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6" w:type="dxa"/>
            <w:vMerge w:val="continue"/>
            <w:noWrap w:val="0"/>
            <w:vAlign w:val="center"/>
          </w:tcPr>
          <w:p w14:paraId="249BF098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5011" w:type="dxa"/>
            <w:noWrap w:val="0"/>
            <w:vAlign w:val="center"/>
          </w:tcPr>
          <w:p w14:paraId="375B0BDA">
            <w:pPr>
              <w:tabs>
                <w:tab w:val="left" w:pos="312"/>
              </w:tabs>
              <w:spacing w:line="360" w:lineRule="exact"/>
              <w:jc w:val="left"/>
              <w:rPr>
                <w:rFonts w:hint="eastAsia"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2.能够实现技术成果转化，形成主导产品重要技术指标稳定可靠。</w:t>
            </w:r>
          </w:p>
          <w:p w14:paraId="35D97E96">
            <w:pPr>
              <w:rPr>
                <w:rFonts w:hint="eastAsia" w:ascii="Times New Roman" w:hAnsi="Times New Roman" w:eastAsia="仿宋_GB2312"/>
                <w:szCs w:val="21"/>
              </w:rPr>
            </w:pPr>
          </w:p>
          <w:p w14:paraId="58CFA6E1">
            <w:pPr>
              <w:rPr>
                <w:rFonts w:hint="eastAsia" w:ascii="Times New Roman" w:hAnsi="Times New Roman" w:eastAsia="仿宋_GB2312"/>
                <w:szCs w:val="21"/>
              </w:rPr>
            </w:pPr>
          </w:p>
          <w:p w14:paraId="38F60894">
            <w:pPr>
              <w:rPr>
                <w:rFonts w:hint="eastAsia" w:ascii="Times New Roman" w:hAnsi="Times New Roman" w:eastAsia="仿宋_GB2312"/>
                <w:szCs w:val="21"/>
              </w:rPr>
            </w:pPr>
          </w:p>
          <w:p w14:paraId="2CBD51F9">
            <w:pPr>
              <w:rPr>
                <w:rFonts w:hint="eastAsia" w:ascii="Times New Roman" w:hAnsi="Times New Roman" w:eastAsia="仿宋_GB2312"/>
                <w:szCs w:val="21"/>
              </w:rPr>
            </w:pPr>
          </w:p>
          <w:p w14:paraId="4F51B894">
            <w:pPr>
              <w:rPr>
                <w:rFonts w:hint="eastAsia" w:ascii="Times New Roman" w:hAnsi="Times New Roman" w:eastAsia="仿宋_GB2312"/>
                <w:szCs w:val="21"/>
              </w:rPr>
            </w:pPr>
          </w:p>
          <w:p w14:paraId="0C228642">
            <w:pPr>
              <w:rPr>
                <w:rFonts w:hint="eastAsia" w:ascii="Times New Roman" w:hAnsi="Times New Roman" w:eastAsia="仿宋_GB2312"/>
                <w:szCs w:val="21"/>
              </w:rPr>
            </w:pPr>
          </w:p>
          <w:p w14:paraId="7D735591">
            <w:pPr>
              <w:rPr>
                <w:rFonts w:hint="eastAsia" w:ascii="Times New Roman" w:hAnsi="Times New Roman" w:eastAsia="仿宋_GB2312"/>
                <w:szCs w:val="21"/>
              </w:rPr>
            </w:pPr>
          </w:p>
          <w:p w14:paraId="45A84196">
            <w:pPr>
              <w:rPr>
                <w:rFonts w:hint="eastAsia" w:ascii="Times New Roman" w:hAnsi="Times New Roman" w:eastAsia="仿宋_GB2312"/>
                <w:szCs w:val="21"/>
              </w:rPr>
            </w:pPr>
          </w:p>
          <w:p w14:paraId="4E7FE7D7">
            <w:pPr>
              <w:rPr>
                <w:rFonts w:hint="eastAsia" w:ascii="Times New Roman" w:hAnsi="Times New Roman" w:eastAsia="仿宋_GB2312"/>
                <w:szCs w:val="21"/>
              </w:rPr>
            </w:pPr>
          </w:p>
          <w:p w14:paraId="4D2C7843">
            <w:pPr>
              <w:rPr>
                <w:rFonts w:hint="eastAsia" w:ascii="Times New Roman" w:hAnsi="Times New Roman" w:eastAsia="仿宋_GB2312"/>
                <w:szCs w:val="21"/>
              </w:rPr>
            </w:pPr>
          </w:p>
          <w:p w14:paraId="4CE7E066">
            <w:pPr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240" w:type="dxa"/>
            <w:noWrap w:val="0"/>
            <w:vAlign w:val="center"/>
          </w:tcPr>
          <w:p w14:paraId="01DE10F9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8</w:t>
            </w:r>
          </w:p>
        </w:tc>
      </w:tr>
      <w:tr w14:paraId="352136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cantSplit/>
          <w:trHeight w:val="1134" w:hRule="exact"/>
          <w:jc w:val="center"/>
        </w:trPr>
        <w:tc>
          <w:tcPr>
            <w:tcW w:w="1253" w:type="dxa"/>
            <w:vMerge w:val="continue"/>
            <w:noWrap w:val="0"/>
            <w:vAlign w:val="center"/>
          </w:tcPr>
          <w:p w14:paraId="10401962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1466" w:type="dxa"/>
            <w:noWrap w:val="0"/>
            <w:vAlign w:val="center"/>
          </w:tcPr>
          <w:p w14:paraId="7F539FEF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  <w:lang w:val="zh-TW" w:eastAsia="zh-TW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实施计划</w:t>
            </w:r>
          </w:p>
        </w:tc>
        <w:tc>
          <w:tcPr>
            <w:tcW w:w="5011" w:type="dxa"/>
            <w:noWrap w:val="0"/>
            <w:vAlign w:val="center"/>
          </w:tcPr>
          <w:p w14:paraId="2C64920A">
            <w:pPr>
              <w:tabs>
                <w:tab w:val="left" w:pos="312"/>
              </w:tabs>
              <w:spacing w:line="360" w:lineRule="exact"/>
              <w:jc w:val="left"/>
              <w:rPr>
                <w:rFonts w:ascii="Times New Roman" w:hAnsi="Times New Roman" w:eastAsia="仿宋_GB2312"/>
                <w:szCs w:val="21"/>
                <w:lang w:val="zh-TW" w:eastAsia="zh-TW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成果转化路线的合理性及持续性：转化路线设计科学、合理，研发方案全面、严谨，采用的方法比较可靠，风险分析及应对措施得当，有合理的投融资计划。</w:t>
            </w:r>
          </w:p>
        </w:tc>
        <w:tc>
          <w:tcPr>
            <w:tcW w:w="1240" w:type="dxa"/>
            <w:noWrap w:val="0"/>
            <w:vAlign w:val="center"/>
          </w:tcPr>
          <w:p w14:paraId="460366E4">
            <w:pPr>
              <w:tabs>
                <w:tab w:val="left" w:pos="312"/>
              </w:tabs>
              <w:spacing w:line="360" w:lineRule="exact"/>
              <w:jc w:val="center"/>
              <w:rPr>
                <w:rFonts w:ascii="Times New Roman" w:hAnsi="Times New Roman" w:eastAsia="仿宋_GB2312"/>
                <w:szCs w:val="21"/>
              </w:rPr>
            </w:pPr>
            <w:r>
              <w:rPr>
                <w:rFonts w:hint="eastAsia" w:ascii="Times New Roman" w:hAnsi="Times New Roman" w:eastAsia="仿宋_GB2312"/>
                <w:szCs w:val="21"/>
              </w:rPr>
              <w:t>10</w:t>
            </w:r>
          </w:p>
        </w:tc>
      </w:tr>
    </w:tbl>
    <w:p w14:paraId="3DCA77C0">
      <w:pPr>
        <w:autoSpaceDE w:val="0"/>
        <w:autoSpaceDN w:val="0"/>
        <w:adjustRightInd w:val="0"/>
        <w:spacing w:line="560" w:lineRule="exact"/>
        <w:ind w:firstLine="640" w:firstLineChars="200"/>
        <w:jc w:val="left"/>
        <w:rPr>
          <w:rFonts w:ascii="Times New Roman" w:hAnsi="Times New Roman" w:eastAsia="黑体"/>
          <w:sz w:val="32"/>
          <w:szCs w:val="32"/>
        </w:rPr>
      </w:pPr>
    </w:p>
    <w:p w14:paraId="3B78CA52"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备注：1.赛事评审标准根据评审专家意见进行实时修正。</w:t>
      </w:r>
    </w:p>
    <w:p w14:paraId="572B1D6B">
      <w:pPr>
        <w:spacing w:line="560" w:lineRule="exact"/>
        <w:ind w:firstLine="960" w:firstLineChars="3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2.行业需求赛道、境外赛道评审规则由广东高校科技成果</w:t>
      </w:r>
    </w:p>
    <w:p w14:paraId="4FC4C1AD">
      <w:pPr>
        <w:spacing w:line="560" w:lineRule="exact"/>
        <w:ind w:firstLine="960" w:firstLineChars="3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转化中心另行发布。</w:t>
      </w:r>
    </w:p>
    <w:sectPr>
      <w:headerReference r:id="rId3" w:type="default"/>
      <w:footerReference r:id="rId4" w:type="default"/>
      <w:type w:val="continuous"/>
      <w:pgSz w:w="11906" w:h="16838"/>
      <w:pgMar w:top="2098" w:right="1474" w:bottom="1984" w:left="1587" w:header="851" w:footer="1587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EDD1339">
    <w:pPr>
      <w:pStyle w:val="6"/>
      <w:jc w:val="center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622935" cy="230505"/>
              <wp:effectExtent l="0" t="0" r="0" b="0"/>
              <wp:wrapNone/>
              <wp:docPr id="1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22935" cy="23050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78687241">
                          <w:pPr>
                            <w:pStyle w:val="6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  <w:t>5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5" o:spid="_x0000_s1026" o:spt="202" type="#_x0000_t202" style="position:absolute;left:0pt;margin-top:0pt;height:18.15pt;width:49.05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SDMzFdEAAAADAQAADwAAAAAAAAABACAAAAAiAAAA&#10;ZHJzL2Rvd25yZXYueG1sUEsBAhQAFAAAAAgAh07iQPkRK20OAgAAEAQAAA4AAAAAAAAAAQAgAAAA&#10;IAEAAGRycy9lMm9Eb2MueG1sUEsFBgAAAAAGAAYAWQEAAKA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8687241">
                    <w:pPr>
                      <w:pStyle w:val="6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ascii="宋体" w:hAnsi="宋体" w:cs="宋体"/>
                        <w:sz w:val="28"/>
                        <w:szCs w:val="28"/>
                      </w:rPr>
                      <w:t>5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9DB8925">
    <w:pPr>
      <w:pStyle w:val="7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UyYzlkZTJlZjJlMWZiOTE2ZTczNDg4ZmM2NTk1NzkifQ=="/>
    <w:docVar w:name="KSO_WPS_MARK_KEY" w:val="3ce71e74-29f1-47ea-bf45-db59f546c2f4"/>
  </w:docVars>
  <w:rsids>
    <w:rsidRoot w:val="005D07FD"/>
    <w:rsid w:val="000A113A"/>
    <w:rsid w:val="001522FB"/>
    <w:rsid w:val="001C3EDE"/>
    <w:rsid w:val="00202F09"/>
    <w:rsid w:val="00264E64"/>
    <w:rsid w:val="002746A2"/>
    <w:rsid w:val="002A6BCE"/>
    <w:rsid w:val="003030EA"/>
    <w:rsid w:val="0030339E"/>
    <w:rsid w:val="00314A52"/>
    <w:rsid w:val="00322E5E"/>
    <w:rsid w:val="00344C3C"/>
    <w:rsid w:val="00347F1E"/>
    <w:rsid w:val="00386698"/>
    <w:rsid w:val="003A7E51"/>
    <w:rsid w:val="003B17AE"/>
    <w:rsid w:val="003E316F"/>
    <w:rsid w:val="003F4E6E"/>
    <w:rsid w:val="00444CC4"/>
    <w:rsid w:val="00463860"/>
    <w:rsid w:val="00494AAE"/>
    <w:rsid w:val="004A090E"/>
    <w:rsid w:val="004D15B2"/>
    <w:rsid w:val="00532A87"/>
    <w:rsid w:val="005541CC"/>
    <w:rsid w:val="00560B0B"/>
    <w:rsid w:val="005D07FD"/>
    <w:rsid w:val="00622727"/>
    <w:rsid w:val="00681969"/>
    <w:rsid w:val="006B3ED2"/>
    <w:rsid w:val="00722FDC"/>
    <w:rsid w:val="007274C5"/>
    <w:rsid w:val="007A1DA3"/>
    <w:rsid w:val="007D0C57"/>
    <w:rsid w:val="007E0F67"/>
    <w:rsid w:val="00833E69"/>
    <w:rsid w:val="00887E98"/>
    <w:rsid w:val="008C2221"/>
    <w:rsid w:val="009375A2"/>
    <w:rsid w:val="009716F1"/>
    <w:rsid w:val="009D4A77"/>
    <w:rsid w:val="00A123FE"/>
    <w:rsid w:val="00A86F6D"/>
    <w:rsid w:val="00AC3777"/>
    <w:rsid w:val="00AE6D8B"/>
    <w:rsid w:val="00AF7E5D"/>
    <w:rsid w:val="00B35FA4"/>
    <w:rsid w:val="00B5612C"/>
    <w:rsid w:val="00B66B69"/>
    <w:rsid w:val="00B71866"/>
    <w:rsid w:val="00BA0558"/>
    <w:rsid w:val="00BC1937"/>
    <w:rsid w:val="00BF3785"/>
    <w:rsid w:val="00BF5DDF"/>
    <w:rsid w:val="00CE6617"/>
    <w:rsid w:val="00D06942"/>
    <w:rsid w:val="00D13B52"/>
    <w:rsid w:val="00D57280"/>
    <w:rsid w:val="00D70A7D"/>
    <w:rsid w:val="00D849DB"/>
    <w:rsid w:val="00DA21DD"/>
    <w:rsid w:val="00E45392"/>
    <w:rsid w:val="00E8646B"/>
    <w:rsid w:val="00EA4342"/>
    <w:rsid w:val="00ED3F4B"/>
    <w:rsid w:val="00EF41C5"/>
    <w:rsid w:val="00F056E7"/>
    <w:rsid w:val="00F17AB6"/>
    <w:rsid w:val="00FA1F9D"/>
    <w:rsid w:val="00FB01D6"/>
    <w:rsid w:val="00FD6CF7"/>
    <w:rsid w:val="0B27035A"/>
    <w:rsid w:val="0DF02D6C"/>
    <w:rsid w:val="1CC015A3"/>
    <w:rsid w:val="22146DBF"/>
    <w:rsid w:val="281667CC"/>
    <w:rsid w:val="2B1218B6"/>
    <w:rsid w:val="2E0979F4"/>
    <w:rsid w:val="31DC5C4F"/>
    <w:rsid w:val="31F86CB1"/>
    <w:rsid w:val="35D03546"/>
    <w:rsid w:val="361177CC"/>
    <w:rsid w:val="380B7B77"/>
    <w:rsid w:val="38C17158"/>
    <w:rsid w:val="41DA7286"/>
    <w:rsid w:val="430D5439"/>
    <w:rsid w:val="4A5F2260"/>
    <w:rsid w:val="4BA6467C"/>
    <w:rsid w:val="4E9133C2"/>
    <w:rsid w:val="573509BB"/>
    <w:rsid w:val="63B7D320"/>
    <w:rsid w:val="68FF1DBA"/>
    <w:rsid w:val="69D97135"/>
    <w:rsid w:val="6A9736B6"/>
    <w:rsid w:val="6E7D225E"/>
    <w:rsid w:val="737E75BF"/>
    <w:rsid w:val="74634609"/>
    <w:rsid w:val="755577D8"/>
    <w:rsid w:val="79823784"/>
    <w:rsid w:val="7A081373"/>
    <w:rsid w:val="7B902521"/>
    <w:rsid w:val="7C3A0345"/>
    <w:rsid w:val="7CB662BD"/>
    <w:rsid w:val="7CF460F3"/>
    <w:rsid w:val="93FF8A5F"/>
    <w:rsid w:val="BC0F0A8B"/>
    <w:rsid w:val="D637C82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99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spacing w:before="100" w:beforeAutospacing="1" w:after="100" w:afterAutospacing="1"/>
      <w:jc w:val="left"/>
      <w:outlineLvl w:val="0"/>
    </w:pPr>
    <w:rPr>
      <w:rFonts w:hint="eastAsia" w:ascii="宋体" w:hAnsi="宋体"/>
      <w:b/>
      <w:bCs/>
      <w:kern w:val="44"/>
      <w:sz w:val="48"/>
      <w:szCs w:val="48"/>
    </w:rPr>
  </w:style>
  <w:style w:type="character" w:default="1" w:styleId="12">
    <w:name w:val="Default Paragraph Font"/>
    <w:unhideWhenUsed/>
    <w:qFormat/>
    <w:uiPriority w:val="1"/>
  </w:style>
  <w:style w:type="table" w:default="1" w:styleId="10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qFormat/>
    <w:uiPriority w:val="99"/>
    <w:pPr>
      <w:spacing w:after="120" w:line="480" w:lineRule="auto"/>
    </w:pPr>
    <w:rPr>
      <w:sz w:val="32"/>
    </w:rPr>
  </w:style>
  <w:style w:type="paragraph" w:styleId="4">
    <w:name w:val="annotation text"/>
    <w:basedOn w:val="1"/>
    <w:link w:val="17"/>
    <w:qFormat/>
    <w:uiPriority w:val="0"/>
    <w:pPr>
      <w:jc w:val="left"/>
    </w:pPr>
  </w:style>
  <w:style w:type="paragraph" w:styleId="5">
    <w:name w:val="Balloon Text"/>
    <w:basedOn w:val="1"/>
    <w:link w:val="18"/>
    <w:qFormat/>
    <w:uiPriority w:val="0"/>
    <w:rPr>
      <w:sz w:val="18"/>
      <w:szCs w:val="18"/>
    </w:rPr>
  </w:style>
  <w:style w:type="paragraph" w:styleId="6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  <w:style w:type="paragraph" w:styleId="8">
    <w:name w:val="Normal (Web)"/>
    <w:basedOn w:val="1"/>
    <w:qFormat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paragraph" w:styleId="9">
    <w:name w:val="annotation subject"/>
    <w:basedOn w:val="4"/>
    <w:next w:val="4"/>
    <w:link w:val="19"/>
    <w:qFormat/>
    <w:uiPriority w:val="0"/>
    <w:rPr>
      <w:b/>
      <w:bCs/>
    </w:rPr>
  </w:style>
  <w:style w:type="table" w:styleId="11">
    <w:name w:val="Table Grid"/>
    <w:basedOn w:val="10"/>
    <w:qFormat/>
    <w:uiPriority w:val="39"/>
    <w:rPr>
      <w:rFonts w:ascii="等线" w:hAnsi="等线" w:eastAsia="等线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Strong"/>
    <w:qFormat/>
    <w:uiPriority w:val="0"/>
    <w:rPr>
      <w:b/>
    </w:rPr>
  </w:style>
  <w:style w:type="character" w:styleId="14">
    <w:name w:val="Emphasis"/>
    <w:qFormat/>
    <w:uiPriority w:val="0"/>
    <w:rPr>
      <w:i/>
    </w:rPr>
  </w:style>
  <w:style w:type="character" w:styleId="15">
    <w:name w:val="Hyperlink"/>
    <w:unhideWhenUsed/>
    <w:qFormat/>
    <w:uiPriority w:val="99"/>
    <w:rPr>
      <w:color w:val="0000FF"/>
      <w:u w:val="single"/>
    </w:rPr>
  </w:style>
  <w:style w:type="character" w:styleId="16">
    <w:name w:val="annotation reference"/>
    <w:qFormat/>
    <w:uiPriority w:val="0"/>
    <w:rPr>
      <w:sz w:val="21"/>
      <w:szCs w:val="21"/>
    </w:rPr>
  </w:style>
  <w:style w:type="character" w:customStyle="1" w:styleId="17">
    <w:name w:val="批注文字 字符"/>
    <w:link w:val="4"/>
    <w:qFormat/>
    <w:uiPriority w:val="0"/>
    <w:rPr>
      <w:rFonts w:ascii="Calibri" w:hAnsi="Calibri"/>
      <w:kern w:val="2"/>
      <w:sz w:val="21"/>
      <w:szCs w:val="24"/>
    </w:rPr>
  </w:style>
  <w:style w:type="character" w:customStyle="1" w:styleId="18">
    <w:name w:val="批注框文本 字符"/>
    <w:link w:val="5"/>
    <w:qFormat/>
    <w:uiPriority w:val="0"/>
    <w:rPr>
      <w:rFonts w:ascii="Calibri" w:hAnsi="Calibri"/>
      <w:kern w:val="2"/>
      <w:sz w:val="18"/>
      <w:szCs w:val="18"/>
    </w:rPr>
  </w:style>
  <w:style w:type="character" w:customStyle="1" w:styleId="19">
    <w:name w:val="批注主题 字符"/>
    <w:link w:val="9"/>
    <w:qFormat/>
    <w:uiPriority w:val="0"/>
    <w:rPr>
      <w:rFonts w:ascii="Calibri" w:hAnsi="Calibri"/>
      <w:b/>
      <w:bCs/>
      <w:kern w:val="2"/>
      <w:sz w:val="21"/>
      <w:szCs w:val="24"/>
    </w:rPr>
  </w:style>
  <w:style w:type="paragraph" w:customStyle="1" w:styleId="20">
    <w:name w:val="Default"/>
    <w:qFormat/>
    <w:uiPriority w:val="0"/>
    <w:pPr>
      <w:widowControl w:val="0"/>
      <w:autoSpaceDE w:val="0"/>
      <w:autoSpaceDN w:val="0"/>
      <w:adjustRightInd w:val="0"/>
    </w:pPr>
    <w:rPr>
      <w:rFonts w:ascii="等线" w:hAnsi="Calibri" w:eastAsia="等线" w:cs="等线"/>
      <w:color w:val="000000"/>
      <w:sz w:val="24"/>
      <w:szCs w:val="24"/>
      <w:lang w:val="en-US" w:eastAsia="zh-CN" w:bidi="ar-SA"/>
    </w:rPr>
  </w:style>
  <w:style w:type="paragraph" w:customStyle="1" w:styleId="21">
    <w:name w:val="修订1"/>
    <w:unhideWhenUsed/>
    <w:qFormat/>
    <w:uiPriority w:val="99"/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2">
    <w:name w:val="List Paragraph"/>
    <w:basedOn w:val="1"/>
    <w:qFormat/>
    <w:uiPriority w:val="99"/>
    <w:pPr>
      <w:ind w:firstLine="420" w:firstLineChars="200"/>
    </w:pPr>
  </w:style>
  <w:style w:type="paragraph" w:customStyle="1" w:styleId="23">
    <w:name w:val="_Style 22"/>
    <w:unhideWhenUsed/>
    <w:qFormat/>
    <w:uiPriority w:val="99"/>
    <w:rPr>
      <w:rFonts w:ascii="Calibri" w:hAnsi="Calibri" w:eastAsia="宋体" w:cs="Times New Roman"/>
      <w:kern w:val="2"/>
      <w:sz w:val="21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HP Inc.</Company>
  <Pages>2</Pages>
  <Words>577</Words>
  <Characters>591</Characters>
  <Lines>4</Lines>
  <Paragraphs>1</Paragraphs>
  <TotalTime>0</TotalTime>
  <ScaleCrop>false</ScaleCrop>
  <LinksUpToDate>false</LinksUpToDate>
  <CharactersWithSpaces>591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2025-03-07T14:59:00Z</dcterms:created>
  <dc:creator>Administrator</dc:creator>
  <cp:lastModifiedBy>LJHZ</cp:lastModifiedBy>
  <dcterms:modified xsi:type="dcterms:W3CDTF">2025-05-18T09:30:32Z</dcterms:modified>
  <dc:title>附件：2025年第八届“高创杯”广东高校科技成果转化路演大赛活动方案</dc:title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F4A0418711AB4F40AF3EB1F97DC0F6A6_13</vt:lpwstr>
  </property>
  <property fmtid="{D5CDD505-2E9C-101B-9397-08002B2CF9AE}" pid="4" name="慧眼令牌">
    <vt:lpwstr>eyJraWQiOiJvYSIsInR5cCI6IkpXVCIsImFsZyI6IkhTMjU2In0.eyJzdWIiOiJPQS1MT0dJTiIsImNvcnBJZCI6IiIsIm1haW5BY2NvdW50IjoiIiwiaXNzIjoiRVhPQSIsIm9EZXB0IjoiIiwidXNlcklkIjoxMDcxMiwibURlcHQiOiIxNiznp5HnoJTlpIQo56CU56m255Sf5pWZ6IKy5aSE44CB55yB5a2m5L2N5YqeKSIsIm5iZiI6MTc</vt:lpwstr>
  </property>
  <property fmtid="{D5CDD505-2E9C-101B-9397-08002B2CF9AE}" pid="5" name="KSOTemplateDocerSaveRecord">
    <vt:lpwstr>eyJoZGlkIjoiZGI0NjY2MDhhNjNjMTZjMWZmMGFlZTk3ODRmYmNkMmQiLCJ1c2VySWQiOiI0MDQyMzQzMzEifQ==</vt:lpwstr>
  </property>
</Properties>
</file>