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XX学院关于逾期未结项横向科技项目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梳理的总结报告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逾期项目总体情况（包含逾期项目数量、涉及金额、主要问题及原因分析等）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下一步工作措施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6367F5"/>
    <w:multiLevelType w:val="singleLevel"/>
    <w:tmpl w:val="016367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NzA0NGQ3NmJhMDVlYjkxMzUxZDMyZDI2YTBlYTkifQ=="/>
  </w:docVars>
  <w:rsids>
    <w:rsidRoot w:val="00000000"/>
    <w:rsid w:val="1360166D"/>
    <w:rsid w:val="33987768"/>
    <w:rsid w:val="6895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2025-07-03T09:57:00Z</dcterms:created>
  <dc:creator>常洪欢</dc:creator>
  <cp:lastModifiedBy>张舒婷</cp:lastModifiedBy>
  <dcterms:modified xsi:type="dcterms:W3CDTF">2025-10-15T08:07:32Z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09C4DDB9FC9E4C70ABD9354F18B8426B_12</vt:lpwstr>
  </property>
</Properties>
</file>